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e367dca51488b699eb22a0c54d5ee0ced19a6d"/>
      <w:r>
        <w:t xml:space="preserve">The 90-day plan: one page the board can approve</w:t>
      </w:r>
      <w:bookmarkEnd w:id="20"/>
    </w:p>
    <w:p>
      <w:pPr>
        <w:pStyle w:val="FirstParagraph"/>
      </w:pPr>
      <w:r>
        <w:t xml:space="preserve">Every version of the board memo asks for the same thing: approval for a costed 90-day plan, with a named owner per area and a report back in 12 months. This is that plan. Fill it in before the meeting, not after. A board approves a plan far quicker than it approves an idea, and "here's exactly what I'd do" closes a discussion that "we should do something" leaves open.</w:t>
      </w:r>
    </w:p>
    <w:p>
      <w:pPr>
        <w:pStyle w:val="BodyText"/>
      </w:pPr>
      <w:r>
        <w:t xml:space="preserve">The rules that keep it credible:</w:t>
      </w:r>
    </w:p>
    <w:p>
      <w:pPr>
        <w:pStyle w:val="BodyText"/>
      </w:pPr>
      <w:r>
        <w:rPr>
          <w:b/>
        </w:rPr>
        <w:t xml:space="preserve">Three drivers, not eight.</w:t>
      </w:r>
      <w:r>
        <w:t xml:space="preserve"> </w:t>
      </w:r>
      <w:r>
        <w:t xml:space="preserve">Take your three weakest from the Scan or the intervention menu. Spreading a first effort across everything is how it dies. Fix the worst first, prove it, come back for more.</w:t>
      </w:r>
    </w:p>
    <w:p>
      <w:pPr>
        <w:pStyle w:val="BodyText"/>
      </w:pPr>
      <w:r>
        <w:rPr>
          <w:b/>
        </w:rPr>
        <w:t xml:space="preserve">One lead action each, pulled straight from the intervention menu.</w:t>
      </w:r>
      <w:r>
        <w:t xml:space="preserve"> </w:t>
      </w:r>
      <w:r>
        <w:t xml:space="preserve">Every action on that menu carries published evidence and none of it is a perk. Don't invent your own. The point is that you can name the source when someone asks.</w:t>
      </w:r>
    </w:p>
    <w:p>
      <w:pPr>
        <w:pStyle w:val="BodyText"/>
      </w:pPr>
      <w:r>
        <w:rPr>
          <w:b/>
        </w:rPr>
        <w:t xml:space="preserve">A proof measure per action, agreed up front.</w:t>
      </w:r>
      <w:r>
        <w:t xml:space="preserve"> </w:t>
      </w:r>
      <w:r>
        <w:t xml:space="preserve">Decide now how you'll know it worked: absence rate, voluntary turnover, decision turnaround, the re-run driver score. Write down today's figure for each, so you can show movement later. A plan with no measure is a wish.</w:t>
      </w:r>
    </w:p>
    <w:p>
      <w:pPr>
        <w:pStyle w:val="BodyText"/>
      </w:pPr>
      <w:r>
        <w:rPr>
          <w:b/>
        </w:rPr>
        <w:t xml:space="preserve">A named human owns each one.</w:t>
      </w:r>
      <w:r>
        <w:t xml:space="preserve"> </w:t>
      </w:r>
      <w:r>
        <w:t xml:space="preserve">Not "HR" or "the leadership team". A name.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the-plan"/>
      <w:r>
        <w:t xml:space="preserve">The plan</w:t>
      </w:r>
      <w:bookmarkEnd w:id="21"/>
    </w:p>
    <w:p>
      <w:pPr>
        <w:pStyle w:val="BlockText"/>
      </w:pPr>
      <w:r>
        <w:rPr>
          <w:b/>
        </w:rPr>
        <w:t xml:space="preserve">Organisation:</w:t>
      </w:r>
      <w:r>
        <w:t xml:space="preserve"> </w:t>
      </w:r>
      <w:r>
        <w:t xml:space="preserve">[Name]</w:t>
      </w:r>
      <w:r>
        <w:t xml:space="preserve"> </w:t>
      </w:r>
      <w:r>
        <w:rPr>
          <w:b/>
        </w:rPr>
        <w:t xml:space="preserve">Sponsor:</w:t>
      </w:r>
      <w:r>
        <w:t xml:space="preserve"> </w:t>
      </w:r>
      <w:r>
        <w:t xml:space="preserve">[Name, role]</w:t>
      </w:r>
      <w:r>
        <w:t xml:space="preserve"> </w:t>
      </w:r>
      <w:r>
        <w:rPr>
          <w:b/>
        </w:rPr>
        <w:t xml:space="preserve">Start date:</w:t>
      </w:r>
      <w:r>
        <w:t xml:space="preserve"> </w:t>
      </w:r>
      <w:r>
        <w:t xml:space="preserve">[Date]</w:t>
      </w:r>
      <w:r>
        <w:t xml:space="preserve"> </w:t>
      </w:r>
      <w:r>
        <w:rPr>
          <w:b/>
        </w:rPr>
        <w:t xml:space="preserve">Report back:</w:t>
      </w:r>
      <w:r>
        <w:t xml:space="preserve"> </w:t>
      </w:r>
      <w:r>
        <w:t xml:space="preserve">[Date, around 12 months]</w:t>
      </w:r>
    </w:p>
    <w:tbl>
      <w:tblPr>
        <w:tblStyle w:val="Table"/>
        <w:tblLook w:firstRow="1"/>
        <w:tblW w:type="dxa" w:w="13900"/>
        <w:tblLayout w:type="fixed"/>
        <w:tblBorders>
          <w:top w:val="single" w:sz="4" w:space="0" w:color="BFC9D0"/>
          <w:left w:val="single" w:sz="4" w:space="0" w:color="BFC9D0"/>
          <w:bottom w:val="single" w:sz="4" w:space="0" w:color="BFC9D0"/>
          <w:right w:val="single" w:sz="4" w:space="0" w:color="BFC9D0"/>
          <w:insideH w:val="single" w:sz="4" w:space="0" w:color="BFC9D0"/>
          <w:insideV w:val="single" w:sz="4" w:space="0" w:color="BFC9D0"/>
        </w:tblBorders>
      </w:tblPr>
      <w:tblGrid>
        <w:gridCol w:w="1737"/>
        <w:gridCol w:w="1737"/>
        <w:gridCol w:w="1737"/>
        <w:gridCol w:w="1737"/>
        <w:gridCol w:w="1737"/>
        <w:gridCol w:w="1737"/>
        <w:gridCol w:w="1737"/>
        <w:gridCol w:w="1737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Weakest driver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Lead action (from the intervention menu)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Owner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Proof measure (and today's figure)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30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60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90</w:t>
            </w:r>
          </w:p>
        </w:tc>
      </w:tr>
      <w:tr>
        <w:trPr>
          <w:trHeight w:val="737" w:hRule="atLeast"/>
        </w:trPr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[DRIVER 1]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£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</w:tr>
      <w:tr>
        <w:trPr>
          <w:trHeight w:val="737" w:hRule="atLeast"/>
        </w:trPr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[DRIVER 2]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£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</w:tr>
      <w:tr>
        <w:trPr>
          <w:trHeight w:val="737" w:hRule="atLeast"/>
        </w:trPr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[DRIVER 3]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£</w:t>
            </w:r>
          </w:p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  <w:tc>
          <w:tcPr>
            <w:tcW w:type="dxa" w:w="1737"/>
          </w:tcPr>
          <w:p/>
        </w:tc>
      </w:tr>
    </w:tbl>
    <w:p>
      <w:pPr>
        <w:pStyle w:val="BlockText"/>
      </w:pPr>
      <w:r>
        <w:rPr>
          <w:b/>
        </w:rPr>
        <w:t xml:space="preserve">Total 90-day budget requested:</w:t>
      </w:r>
      <w:r>
        <w:t xml:space="preserve"> </w:t>
      </w:r>
      <w:r>
        <w:t xml:space="preserve">£[BUDGET]</w:t>
      </w:r>
      <w:r>
        <w:t xml:space="preserve"> </w:t>
      </w:r>
      <w:r>
        <w:rPr>
          <w:b/>
        </w:rPr>
        <w:t xml:space="preserve">Re-assessment:</w:t>
      </w:r>
      <w:r>
        <w:t xml:space="preserve"> </w:t>
      </w:r>
      <w:r>
        <w:t xml:space="preserve">re-run the WellbeingROI Scan at 12 months and report the moved scores, absence rate and turnover to the board.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worked-example-one-row-filled-in"/>
      <w:r>
        <w:t xml:space="preserve">Worked example: one row filled in</w:t>
      </w:r>
      <w:bookmarkEnd w:id="22"/>
    </w:p>
    <w:p>
      <w:pPr>
        <w:pStyle w:val="FirstParagraph"/>
      </w:pPr>
      <w:r>
        <w:t xml:space="preserve">So you can see the level of detail a board wants. This uses the single strongest-evidenced action in the field.</w:t>
      </w:r>
    </w:p>
    <w:tbl>
      <w:tblPr>
        <w:tblStyle w:val="Table"/>
        <w:tblLook w:firstRow="1"/>
        <w:tblW w:type="dxa" w:w="13900"/>
        <w:tblLayout w:type="fixed"/>
        <w:tblBorders>
          <w:top w:val="single" w:sz="4" w:space="0" w:color="BFC9D0"/>
          <w:left w:val="single" w:sz="4" w:space="0" w:color="BFC9D0"/>
          <w:bottom w:val="single" w:sz="4" w:space="0" w:color="BFC9D0"/>
          <w:right w:val="single" w:sz="4" w:space="0" w:color="BFC9D0"/>
          <w:insideH w:val="single" w:sz="4" w:space="0" w:color="BFC9D0"/>
          <w:insideV w:val="single" w:sz="4" w:space="0" w:color="BFC9D0"/>
        </w:tblBorders>
      </w:tblPr>
      <w:tblGrid>
        <w:gridCol w:w="1737"/>
        <w:gridCol w:w="1737"/>
        <w:gridCol w:w="1737"/>
        <w:gridCol w:w="1737"/>
        <w:gridCol w:w="1737"/>
        <w:gridCol w:w="1737"/>
        <w:gridCol w:w="1737"/>
        <w:gridCol w:w="1737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Weakest driver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Lead action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Owner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Proof measure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30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60</w:t>
            </w:r>
          </w:p>
        </w:tc>
        <w:tc>
          <w:tcPr>
            <w:tcBorders>
              <w:bottom w:val="single"/>
            </w:tcBorders>
            <w:vAlign w:val="bottom"/>
            <w:tcW w:type="dxa" w:w="1737"/>
            <w:shd w:val="clear" w:color="auto" w:fill="0E1E33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By day 90</w:t>
            </w:r>
          </w:p>
        </w:tc>
      </w:tr>
      <w:tr>
        <w:trPr>
          <w:trHeight w:val="737" w:hRule="atLeast"/>
        </w:trPr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Support &amp; Leadership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Four-hour mental-health training for every people manager (Milligan-Saville et al.,</w:t>
            </w:r>
            <w:r>
              <w:t xml:space="preserve"> </w:t>
            </w:r>
            <w:r>
              <w:rPr>
                <w:i/>
              </w:rPr>
              <w:t xml:space="preserve">Lancet Psychiatry</w:t>
            </w:r>
            <w:r>
              <w:t xml:space="preserve">, 2017; cluster randomised trial, roughly £10 returned per £1 spent)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[HR lead]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Trainer day rate plus manager time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Sickness absence rate (the trial's own outcome) and return-to-work interview quality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Training booked, managers scheduled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All managers trained</w:t>
            </w:r>
          </w:p>
        </w:tc>
        <w:tc>
          <w:tcPr>
            <w:tcW w:type="dxa" w:w="1737"/>
          </w:tcPr>
          <w:p>
            <w:pPr>
              <w:pStyle w:val="Compact"/>
              <w:jc w:val="left"/>
            </w:pPr>
            <w:r>
              <w:t xml:space="preserve">First absence read at 90 days against baseline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this-plan-is-also-your-evidence"/>
      <w:r>
        <w:t xml:space="preserve">This plan is also your evidence</w:t>
      </w:r>
      <w:bookmarkEnd w:id="23"/>
    </w:p>
    <w:p>
      <w:pPr>
        <w:pStyle w:val="FirstParagraph"/>
      </w:pPr>
      <w:r>
        <w:t xml:space="preserve">The plan does a second job. Acting on what you find, and recording it, is exactly what the law expects of a stress risk assessment, and what ISO 45003 expects of managing psychosocial risk. Keep this page alongside your completed workbook. Together they show an inspector, or a board, that you found the risks and did something about them.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X57652d20e9c5512228beb2446321cec439885f7"/>
      <w:r>
        <w:t xml:space="preserve">The cost of waiting: put this line in your ask</w:t>
      </w:r>
      <w:bookmarkEnd w:id="24"/>
    </w:p>
    <w:p>
      <w:pPr>
        <w:pStyle w:val="FirstParagraph"/>
      </w:pPr>
      <w:r>
        <w:t xml:space="preserve">A board that "notes it and revisits next quarter" isn't holding at zero. The leak runs the whole time.</w:t>
      </w:r>
    </w:p>
    <w:p>
      <w:pPr>
        <w:pStyle w:val="BodyText"/>
      </w:pPr>
      <w:r>
        <w:t xml:space="preserve">Take your annual figure and divide by four. That's roughly what one more quarter of doing nothing costs.</w:t>
      </w:r>
    </w:p>
    <w:p>
      <w:pPr>
        <w:pStyle w:val="BlockText"/>
      </w:pPr>
      <w:r>
        <w:rPr>
          <w:b/>
        </w:rPr>
        <w:t xml:space="preserve">Worked example:</w:t>
      </w:r>
      <w:r>
        <w:t xml:space="preserve"> </w:t>
      </w:r>
      <w:r>
        <w:t xml:space="preserve">an annual leak of</w:t>
      </w:r>
      <w:r>
        <w:t xml:space="preserve"> </w:t>
      </w:r>
      <w:r>
        <w:rPr>
          <w:b/>
        </w:rPr>
        <w:t xml:space="preserve">£619,236</w:t>
      </w:r>
      <w:r>
        <w:t xml:space="preserve"> </w:t>
      </w:r>
      <w:r>
        <w:t xml:space="preserve">is about</w:t>
      </w:r>
      <w:r>
        <w:t xml:space="preserve"> </w:t>
      </w:r>
      <w:r>
        <w:rPr>
          <w:b/>
        </w:rPr>
        <w:t xml:space="preserve">£154,809 a quarter</w:t>
      </w:r>
      <w:r>
        <w:t xml:space="preserve">, the price of sitting on the decision for three more months. (Same conservative, part-modelled basis as your Scan figure; see the costs cheat sheet.)</w:t>
      </w:r>
    </w:p>
    <w:p>
      <w:pPr>
        <w:pStyle w:val="FirstParagraph"/>
      </w:pPr>
      <w:r>
        <w:t xml:space="preserve">Set that against a 90-day plan whose first action returns around £10 for every £1, and "let's wait" gets much harder to say.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the-honesty-that-makes-it-land"/>
      <w:r>
        <w:t xml:space="preserve">The honesty that makes it land</w:t>
      </w:r>
      <w:bookmarkEnd w:id="25"/>
    </w:p>
    <w:p>
      <w:pPr>
        <w:pStyle w:val="FirstParagraph"/>
      </w:pPr>
      <w:r>
        <w:t xml:space="preserve">Build a stop point into the plan and say so out loud: if the measures don't move over the year, we stop. It costs you nothing, because the evidence says these actions work, and it turns your proposal from an open-ended commitment into a bounded, measured trial. Boards approve trials.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sources"/>
      <w:r>
        <w:t xml:space="preserve">Sources</w:t>
      </w:r>
      <w:bookmarkEnd w:id="26"/>
    </w:p>
    <w:p>
      <w:pPr>
        <w:numPr>
          <w:ilvl w:val="0"/>
          <w:numId w:val="1001"/>
        </w:numPr>
        <w:pStyle w:val="Compact"/>
      </w:pPr>
      <w:r>
        <w:t xml:space="preserve">Milligan-Saville, J. et al. (2017).</w:t>
      </w:r>
      <w:r>
        <w:t xml:space="preserve"> </w:t>
      </w:r>
      <w:r>
        <w:rPr>
          <w:i/>
        </w:rPr>
        <w:t xml:space="preserve">Lancet Psychiatry</w:t>
      </w:r>
      <w:r>
        <w:t xml:space="preserve"> </w:t>
      </w:r>
      <w:r>
        <w:t xml:space="preserve">— four-hour manager mental-health training cut sickness absence in a cluster randomised controlled trial; roughly £10 returned per £1 spent.</w:t>
      </w:r>
    </w:p>
    <w:p>
      <w:pPr>
        <w:numPr>
          <w:ilvl w:val="0"/>
          <w:numId w:val="1001"/>
        </w:numPr>
        <w:pStyle w:val="Compact"/>
      </w:pPr>
      <w:r>
        <w:t xml:space="preserve">Deloitte (2024).</w:t>
      </w:r>
      <w:r>
        <w:t xml:space="preserve"> </w:t>
      </w:r>
      <w:r>
        <w:rPr>
          <w:i/>
        </w:rPr>
        <w:t xml:space="preserve">Mental health and employers</w:t>
      </w:r>
      <w:r>
        <w:t xml:space="preserve"> </w:t>
      </w:r>
      <w:r>
        <w:t xml:space="preserve">— return of £4.70–£6.30 per £1 invested in organisational wellbeing action.</w:t>
      </w:r>
    </w:p>
    <w:p>
      <w:pPr>
        <w:numPr>
          <w:ilvl w:val="0"/>
          <w:numId w:val="1001"/>
        </w:numPr>
        <w:pStyle w:val="Compact"/>
      </w:pPr>
      <w:r>
        <w:t xml:space="preserve">Management of Health and Safety at Work Regulations 1999, Regulation 3 — duty to assess and act on work-related stress risk; significant findings recorded where five or more are employed. legislation.gov.uk</w:t>
      </w:r>
    </w:p>
    <w:p>
      <w:pPr>
        <w:numPr>
          <w:ilvl w:val="0"/>
          <w:numId w:val="1001"/>
        </w:numPr>
        <w:pStyle w:val="Compact"/>
      </w:pPr>
      <w:r>
        <w:t xml:space="preserve">ISO 45003:2021 — guidelines for managing psychosocial risks at work. iso.org</w:t>
      </w:r>
    </w:p>
    <w:p>
      <w:pPr>
        <w:numPr>
          <w:ilvl w:val="0"/>
          <w:numId w:val="1001"/>
        </w:numPr>
        <w:pStyle w:val="Compact"/>
      </w:pPr>
      <w:r>
        <w:t xml:space="preserve">HSE Management Standards — the six areas your drivers map onto (Demands, Control, Support, Relationships, Role, Change). hse.gov.uk/stress/standards</w:t>
      </w:r>
    </w:p>
    <w:p>
      <w:pPr>
        <w:numPr>
          <w:ilvl w:val="0"/>
          <w:numId w:val="1001"/>
        </w:numPr>
        <w:pStyle w:val="Compact"/>
      </w:pPr>
      <w:r>
        <w:t xml:space="preserve">The £619,236 example and every cost constant behind it are set out in the costs cheat sheet in this kit, each one sourced or labelled modelled.</w:t>
      </w:r>
    </w:p>
    <w:p>
      <w:pPr>
        <w:pStyle w:val="FirstParagraph"/>
      </w:pPr>
      <w:r>
        <w:rPr>
          <w:i/>
        </w:rPr>
        <w:t xml:space="preserve">This plan is for decision support, not audited accounts.</w:t>
      </w:r>
    </w:p>
    <w:sectPr>
      <w:pgSz w:orient="landscape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2026-07-08T20:51:38Z</dcterms:created>
  <dcterms:modified xsi:type="dcterms:W3CDTF">2026-07-08T20:51:38Z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